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5113" w:rsidRPr="00D264C8" w:rsidRDefault="00545113" w:rsidP="00545113">
      <w:pPr>
        <w:jc w:val="center"/>
        <w:rPr>
          <w:rFonts w:ascii="Arial" w:hAnsi="Arial" w:cs="Arial"/>
          <w:b/>
          <w:bCs/>
        </w:rPr>
      </w:pPr>
      <w:bookmarkStart w:id="0" w:name="OLE_LINK1"/>
      <w:r w:rsidRPr="00D264C8">
        <w:rPr>
          <w:rFonts w:ascii="Arial" w:hAnsi="Arial" w:cs="Arial"/>
          <w:b/>
          <w:bCs/>
        </w:rPr>
        <w:t>Reunião Ordinária do Comitê de Investimentos.</w:t>
      </w:r>
    </w:p>
    <w:p w:rsidR="00545113" w:rsidRPr="00D264C8" w:rsidRDefault="00545113" w:rsidP="00545113">
      <w:pPr>
        <w:jc w:val="both"/>
        <w:rPr>
          <w:rFonts w:ascii="Arial" w:hAnsi="Arial" w:cs="Arial"/>
        </w:rPr>
      </w:pPr>
      <w:r w:rsidRPr="00D264C8">
        <w:rPr>
          <w:rFonts w:ascii="Arial" w:hAnsi="Arial" w:cs="Arial"/>
        </w:rPr>
        <w:t xml:space="preserve">Aos 13 dias do mês de agosto de 2025, às 13h, na sede do Instituto de Previdência dos Servidores Públicos do Município de Guanhães – GuanhãesPrev, situada na Rua Monsenhor Pinheiro, nº 101, Centro, Guanhães/MG, reuniu-se o Comitê de Investimentos, contando com a presença de Cláudia Aparecida Monteiro dos Santos, Daniel Fernando da Silva (virtualmente), Francielle Elgita de Oliveira Costa, Humberto Salvador Ferreira Lopes e Rosimery Aparecida Inácio de Pinho Procópio. A Sra. Francielle Elgita de Oliveira Costa deu início à reunião, dando as boas-vindas aos presentes e informou que a pauta da reunião é para apreciação dos resultados de julho e deliberação sobre as estratégias de alocação. Na sequência, a palavra foi passada a Srª. Ariadne, representante da Lema, consultoria de investimentos do Instituto, que iniciou apresentando que o patrimônio do Instituto no início do ano estava em torno de quarenta e oito milhões de reais e em julho registrou aproximadamente quarenta e seis milhões duzentos e cinquenta e um mil reais, sendo a redução decorrente da necessidade de pagamentos de benefícios. A rentabilidade no mês foi negativa em zero vírgula zero quatro por cento (0,04%) frente à meta de zero vírgula sessenta e nove (0,69%), resultando em uma defasagem de zero vírgula setenta e três (0,73%). O desempenho foi impactado principalmente pela parcela de renda variável da carteira, em função do cenário econômico mundial, com destaque para a imposição de tarifas comerciais elevadas pelos Estados Unidos, o que trouxe instabilidade às bolsas. No cenário nacional, observou-se impacto na renda fixa, especialmente em fundos com duração média e longa, em razão da abertura da curva de juros. Ressaltou-se que a carteira possui ainda perfil conservador, com maior parte alocada em CDI e títulos públicos e privados, os quais, ao serem marcados na curva, trazem alívio em momentos de maior volatilidade, embora a necessidade de resgates tenha limitado maior exposição a esses ativos. Quanto ao panorama econômico, foi relatado que a dívida bruta atingiu setenta e seis vírgula setenta por cento (76,70%) do PIB, enquanto a taxa de desemprego registrou cinco vírgula oitenta por cento (5,80%), menor patamar desde dois mil e doze, com destaque para o aumento da formalização dos empregos. A inflação acumulada em doze meses ficou em cinco vírgula vinte e três por cento (5,03%), com expectativa de fechamento do ano em torno de cinco vírgula zero três </w:t>
      </w:r>
      <w:r w:rsidR="00172DFF">
        <w:rPr>
          <w:rFonts w:ascii="Arial" w:hAnsi="Arial" w:cs="Arial"/>
        </w:rPr>
        <w:t>(</w:t>
      </w:r>
      <w:r w:rsidRPr="00D264C8">
        <w:rPr>
          <w:rFonts w:ascii="Arial" w:hAnsi="Arial" w:cs="Arial"/>
        </w:rPr>
        <w:t xml:space="preserve">5,03%), segundo o relatório Focus. No mês de julho, a inflação veio abaixo do esperado, em zero vírgula vinte e seis (0,26%), influenciada pela deflação em alimentos e bebidas, ainda que setores como transportes e habitação tenham registrado elevação. A taxa Selic foi mantida em quinze por cento (15%), em razão da incerteza internacional e da situação fiscal interna. No cenário externo, os Estados Unidos apresentaram crescimento do PIB de três por cento (3%) no segundo trimestre, inflação anual de dois vírgula noventa por cento (2,90%) e taxa de juros entre quatro vírgula vinte e cinco e quatro vírgula cinquenta (4,25% e 4,50%), mantida pelo Federal Reserve diante da inflação acima da meta de dois por cento (2%). A China apresentou retração no setor industrial, crescimento no setor de serviços e inflação estável em zero por cento (0%), mantendo taxa de juros em três por cento (3%) para estimular a economia. Quanto à carteira de investimentos, destacou-se o desempenho negativo do Ibovespa, com menos quatro vírgula dezessete por cento </w:t>
      </w:r>
      <w:proofErr w:type="gramStart"/>
      <w:r w:rsidRPr="00D264C8">
        <w:rPr>
          <w:rFonts w:ascii="Arial" w:hAnsi="Arial" w:cs="Arial"/>
        </w:rPr>
        <w:t>–(</w:t>
      </w:r>
      <w:proofErr w:type="gramEnd"/>
      <w:r w:rsidRPr="00D264C8">
        <w:rPr>
          <w:rFonts w:ascii="Arial" w:hAnsi="Arial" w:cs="Arial"/>
        </w:rPr>
        <w:t xml:space="preserve">4,17%), e de outros fundos de renda variável, ainda que no acumulado desde dois mil e vinte e dois os resultados permaneçam positivos. A meta atuarial acumulada até julho está em seis vírgula quarenta por cento (6,40%), enquanto a rentabilidade acumulada foi de sete vírgula cinquenta e cinco (7,55%), superando a meta em </w:t>
      </w:r>
      <w:proofErr w:type="gramStart"/>
      <w:r w:rsidR="00FA5082" w:rsidRPr="00D264C8">
        <w:rPr>
          <w:rFonts w:ascii="Arial" w:hAnsi="Arial" w:cs="Arial"/>
        </w:rPr>
        <w:t>um</w:t>
      </w:r>
      <w:r w:rsidR="00FA5082">
        <w:rPr>
          <w:rFonts w:ascii="Arial" w:hAnsi="Arial" w:cs="Arial"/>
        </w:rPr>
        <w:t xml:space="preserve"> vírgula</w:t>
      </w:r>
      <w:proofErr w:type="gramEnd"/>
      <w:r w:rsidRPr="00D264C8">
        <w:rPr>
          <w:rFonts w:ascii="Arial" w:hAnsi="Arial" w:cs="Arial"/>
        </w:rPr>
        <w:t xml:space="preserve"> quinze (1,15%) e representando ganhos de aproximadamente três milhões e meio de reais. Contudo, os resgates já realizados no ano somaram cerca de quatro milhões e vinte mil reais, o que impacta o patrimônio. No debate, a Sra. Franciele ponderou sobre a possibilidade de manter ou zerar a posição em renda variável diante da volatilidade recente. A Sra. Rosimery destacou que o estudo de ALM indicou zerar a renda variável, considerando a necessidade de liquidez imediata e a ausência de aportes do ente federativo, além de informar que parte dos ganhos já havia sido resgatada e realocada em CDI, restando o capital inicial das aplicações. </w:t>
      </w:r>
      <w:r w:rsidR="00FA5082">
        <w:rPr>
          <w:rFonts w:ascii="Arial" w:hAnsi="Arial" w:cs="Arial"/>
        </w:rPr>
        <w:t>Informou também que a</w:t>
      </w:r>
      <w:r w:rsidRPr="00D264C8">
        <w:rPr>
          <w:rFonts w:ascii="Arial" w:hAnsi="Arial" w:cs="Arial"/>
        </w:rPr>
        <w:t>pós análise, verificou-se que ainda havia fundos com prazos de liquidez mais longos, como o Caixa Brasil Ações Livre, com D+15, sendo necessário planejar os resgates para evitar transtornos</w:t>
      </w:r>
      <w:r w:rsidR="00FA5082">
        <w:rPr>
          <w:rFonts w:ascii="Arial" w:hAnsi="Arial" w:cs="Arial"/>
        </w:rPr>
        <w:t>, principalmente</w:t>
      </w:r>
      <w:r w:rsidRPr="00D264C8">
        <w:rPr>
          <w:rFonts w:ascii="Arial" w:hAnsi="Arial" w:cs="Arial"/>
        </w:rPr>
        <w:t xml:space="preserve"> contábeis. Diante da conjuntura apresentada, prevaleceu o entendimento de que, neste momento, a estratégia mais prudente é reduzir ao máximo os riscos da carteira, priorizando ativos conservadores e avaliando a possibilidade de zerar a posição em renda variável, conforme o estudo de ALM. Sendo assim, o Comitê deliberou pelo resgate total do fundo Caixa Brasil Ações Livres Quantitativo </w:t>
      </w:r>
      <w:proofErr w:type="spellStart"/>
      <w:r w:rsidRPr="00D264C8">
        <w:rPr>
          <w:rFonts w:ascii="Arial" w:hAnsi="Arial" w:cs="Arial"/>
        </w:rPr>
        <w:t>Fic</w:t>
      </w:r>
      <w:proofErr w:type="spellEnd"/>
      <w:r w:rsidRPr="00D264C8">
        <w:rPr>
          <w:rFonts w:ascii="Arial" w:hAnsi="Arial" w:cs="Arial"/>
        </w:rPr>
        <w:t xml:space="preserve"> Ações e sobre os demais fundos de ações aguardaremos o novo estudo comparativo para sabermos se é propício zerarmos todos os Investimentos em renda variável neste momento ou se devemos aguardar outro momento. Nada mais havendo a tratar, a Sra. Francielle Elgita de Oliveira Costa, Presidente do Comitê de Investimentos, declarou encerrada a reunião, agradecendo a participação de todos. Para constar, eu, Rosimery Aparecida Inácio de Pinho Procópio, _____________, Secretária do Comitê de Investimentos, lavrei a presente ata, que, lida e aprovada, será assinada por mim e por todos os membros presentes. Guanhães, 13 de agosto de 2025.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 xml:space="preserve">   Francielle Elgita de Oliveira Costa        </w:t>
      </w:r>
      <w:r>
        <w:rPr>
          <w:rFonts w:ascii="Arial" w:hAnsi="Arial" w:cs="Arial"/>
          <w:lang w:val="pt-BR"/>
        </w:rPr>
        <w:t xml:space="preserve">                   </w:t>
      </w:r>
      <w:r w:rsidRPr="00D264C8">
        <w:rPr>
          <w:rFonts w:ascii="Arial" w:hAnsi="Arial" w:cs="Arial"/>
          <w:lang w:val="pt-BR"/>
        </w:rPr>
        <w:t xml:space="preserve"> Rosimery Ap. Inácio de Pinho Procópio  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>Presidente do Comitê/Gestor Recursos</w:t>
      </w:r>
      <w:r w:rsidRPr="00D264C8">
        <w:rPr>
          <w:rFonts w:ascii="Arial" w:hAnsi="Arial" w:cs="Arial"/>
          <w:lang w:val="pt-BR"/>
        </w:rPr>
        <w:tab/>
        <w:t xml:space="preserve">          </w:t>
      </w:r>
      <w:r>
        <w:rPr>
          <w:rFonts w:ascii="Arial" w:hAnsi="Arial" w:cs="Arial"/>
          <w:lang w:val="pt-BR"/>
        </w:rPr>
        <w:t xml:space="preserve">                            </w:t>
      </w:r>
      <w:r w:rsidRPr="00D264C8">
        <w:rPr>
          <w:rFonts w:ascii="Arial" w:hAnsi="Arial" w:cs="Arial"/>
          <w:lang w:val="pt-BR"/>
        </w:rPr>
        <w:t>Secretária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 xml:space="preserve"> </w:t>
      </w:r>
    </w:p>
    <w:p w:rsidR="00545113" w:rsidRPr="00D264C8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 xml:space="preserve"> 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 xml:space="preserve">Cláudia Aparecida Monteiro dos Santos              </w:t>
      </w:r>
      <w:r>
        <w:rPr>
          <w:rFonts w:ascii="Arial" w:hAnsi="Arial" w:cs="Arial"/>
          <w:lang w:val="pt-BR"/>
        </w:rPr>
        <w:t xml:space="preserve">             </w:t>
      </w:r>
      <w:r w:rsidRPr="00D264C8">
        <w:rPr>
          <w:rFonts w:ascii="Arial" w:hAnsi="Arial" w:cs="Arial"/>
          <w:lang w:val="pt-BR"/>
        </w:rPr>
        <w:t xml:space="preserve">           Daniel Fernando da Silva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 xml:space="preserve">                       Membro                                                                 </w:t>
      </w:r>
      <w:r>
        <w:rPr>
          <w:rFonts w:ascii="Arial" w:hAnsi="Arial" w:cs="Arial"/>
          <w:lang w:val="pt-BR"/>
        </w:rPr>
        <w:t xml:space="preserve">               </w:t>
      </w:r>
      <w:proofErr w:type="spellStart"/>
      <w:r w:rsidRPr="00D264C8">
        <w:rPr>
          <w:rFonts w:ascii="Arial" w:hAnsi="Arial" w:cs="Arial"/>
          <w:lang w:val="pt-BR"/>
        </w:rPr>
        <w:t>Membro</w:t>
      </w:r>
      <w:proofErr w:type="spellEnd"/>
    </w:p>
    <w:p w:rsidR="00545113" w:rsidRPr="00D264C8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>Humberto Salvador Ferreira Lopes</w:t>
      </w:r>
    </w:p>
    <w:p w:rsidR="00545113" w:rsidRPr="00D264C8" w:rsidRDefault="00545113" w:rsidP="00545113">
      <w:pPr>
        <w:pStyle w:val="SemEspaamento"/>
        <w:jc w:val="center"/>
        <w:rPr>
          <w:rFonts w:ascii="Arial" w:hAnsi="Arial" w:cs="Arial"/>
          <w:lang w:val="pt-BR"/>
        </w:rPr>
      </w:pPr>
      <w:r w:rsidRPr="00D264C8">
        <w:rPr>
          <w:rFonts w:ascii="Arial" w:hAnsi="Arial" w:cs="Arial"/>
          <w:lang w:val="pt-BR"/>
        </w:rPr>
        <w:t>Membro</w:t>
      </w:r>
    </w:p>
    <w:p w:rsidR="00545113" w:rsidRPr="00D264C8" w:rsidRDefault="00545113" w:rsidP="00545113">
      <w:pPr>
        <w:pStyle w:val="SemEspaamento"/>
        <w:rPr>
          <w:rFonts w:ascii="Arial" w:hAnsi="Arial" w:cs="Arial"/>
          <w:lang w:val="pt-BR"/>
        </w:rPr>
      </w:pPr>
    </w:p>
    <w:p w:rsidR="00545113" w:rsidRPr="00D264C8" w:rsidRDefault="00545113" w:rsidP="00545113">
      <w:pPr>
        <w:jc w:val="both"/>
        <w:rPr>
          <w:rFonts w:ascii="Arial" w:hAnsi="Arial" w:cs="Arial"/>
        </w:rPr>
      </w:pPr>
    </w:p>
    <w:p w:rsidR="00545113" w:rsidRPr="00D264C8" w:rsidRDefault="00545113" w:rsidP="00545113">
      <w:pPr>
        <w:jc w:val="both"/>
        <w:rPr>
          <w:rFonts w:ascii="Arial" w:hAnsi="Arial" w:cs="Arial"/>
        </w:rPr>
      </w:pPr>
    </w:p>
    <w:p w:rsidR="00330475" w:rsidRPr="00E3768E" w:rsidRDefault="000D53E0" w:rsidP="00545113">
      <w:r w:rsidRPr="00E3768E">
        <w:t xml:space="preserve"> </w:t>
      </w:r>
      <w:bookmarkEnd w:id="0"/>
    </w:p>
    <w:sectPr w:rsidR="00330475" w:rsidRPr="00E3768E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38A1" w:rsidRDefault="009B7211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9B7211">
      <w:rPr>
        <w:noProof/>
        <w:sz w:val="26"/>
        <w:szCs w:val="26"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38A1" w:rsidRDefault="009B7211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D0CC5"/>
    <w:rsid w:val="000D53E0"/>
    <w:rsid w:val="000E3358"/>
    <w:rsid w:val="00172DFF"/>
    <w:rsid w:val="001B5069"/>
    <w:rsid w:val="00330475"/>
    <w:rsid w:val="003F6D65"/>
    <w:rsid w:val="00441214"/>
    <w:rsid w:val="004B4FFC"/>
    <w:rsid w:val="00545113"/>
    <w:rsid w:val="00572B3B"/>
    <w:rsid w:val="005B1CFB"/>
    <w:rsid w:val="005E5F49"/>
    <w:rsid w:val="0067285F"/>
    <w:rsid w:val="006B11D8"/>
    <w:rsid w:val="007E24A2"/>
    <w:rsid w:val="007E76D8"/>
    <w:rsid w:val="008766CE"/>
    <w:rsid w:val="008D0B50"/>
    <w:rsid w:val="008F28B9"/>
    <w:rsid w:val="00954710"/>
    <w:rsid w:val="009832CF"/>
    <w:rsid w:val="009B7211"/>
    <w:rsid w:val="009D2F22"/>
    <w:rsid w:val="00A77661"/>
    <w:rsid w:val="00AC2144"/>
    <w:rsid w:val="00AD7B05"/>
    <w:rsid w:val="00AE3618"/>
    <w:rsid w:val="00AE38A1"/>
    <w:rsid w:val="00B132A1"/>
    <w:rsid w:val="00BF77EC"/>
    <w:rsid w:val="00C72B68"/>
    <w:rsid w:val="00CE5B13"/>
    <w:rsid w:val="00D25F84"/>
    <w:rsid w:val="00D834D3"/>
    <w:rsid w:val="00E3768E"/>
    <w:rsid w:val="00EB508A"/>
    <w:rsid w:val="00EC567C"/>
    <w:rsid w:val="00F22050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977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1</cp:revision>
  <cp:lastPrinted>2022-10-27T17:16:00Z</cp:lastPrinted>
  <dcterms:created xsi:type="dcterms:W3CDTF">2025-09-01T18:11:00Z</dcterms:created>
  <dcterms:modified xsi:type="dcterms:W3CDTF">2025-09-01T18:11:00Z</dcterms:modified>
</cp:coreProperties>
</file>